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7DB" w:rsidRDefault="004D287F">
      <w:pPr>
        <w:rPr>
          <w:b/>
          <w:sz w:val="44"/>
        </w:rPr>
      </w:pPr>
      <w:r w:rsidRPr="004D287F">
        <w:rPr>
          <w:b/>
          <w:noProof/>
          <w:sz w:val="44"/>
          <w:lang w:eastAsia="de-DE"/>
        </w:rPr>
        <w:drawing>
          <wp:anchor distT="0" distB="0" distL="114300" distR="114300" simplePos="0" relativeHeight="251658240" behindDoc="0" locked="0" layoutInCell="1" allowOverlap="1">
            <wp:simplePos x="0" y="0"/>
            <wp:positionH relativeFrom="margin">
              <wp:posOffset>4141470</wp:posOffset>
            </wp:positionH>
            <wp:positionV relativeFrom="margin">
              <wp:posOffset>-790575</wp:posOffset>
            </wp:positionV>
            <wp:extent cx="2265680" cy="2265680"/>
            <wp:effectExtent l="0" t="0" r="1270" b="127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a:extLst>
                        <a:ext uri="{28A0092B-C50C-407E-A947-70E740481C1C}">
                          <a14:useLocalDpi xmlns:a14="http://schemas.microsoft.com/office/drawing/2010/main" val="0"/>
                        </a:ext>
                      </a:extLst>
                    </a:blip>
                    <a:stretch>
                      <a:fillRect/>
                    </a:stretch>
                  </pic:blipFill>
                  <pic:spPr>
                    <a:xfrm>
                      <a:off x="0" y="0"/>
                      <a:ext cx="2265680" cy="2265680"/>
                    </a:xfrm>
                    <a:prstGeom prst="rect">
                      <a:avLst/>
                    </a:prstGeom>
                  </pic:spPr>
                </pic:pic>
              </a:graphicData>
            </a:graphic>
            <wp14:sizeRelH relativeFrom="margin">
              <wp14:pctWidth>0</wp14:pctWidth>
            </wp14:sizeRelH>
            <wp14:sizeRelV relativeFrom="margin">
              <wp14:pctHeight>0</wp14:pctHeight>
            </wp14:sizeRelV>
          </wp:anchor>
        </w:drawing>
      </w:r>
      <w:r w:rsidRPr="004D287F">
        <w:rPr>
          <w:b/>
          <w:sz w:val="44"/>
        </w:rPr>
        <w:t>Reisemedizinische Beratung</w:t>
      </w:r>
    </w:p>
    <w:p w:rsidR="004D287F" w:rsidRDefault="004D287F">
      <w:pPr>
        <w:rPr>
          <w:b/>
          <w:sz w:val="44"/>
        </w:rPr>
      </w:pPr>
    </w:p>
    <w:p w:rsidR="004D287F" w:rsidRDefault="004D287F">
      <w:pPr>
        <w:rPr>
          <w:b/>
          <w:sz w:val="44"/>
        </w:rPr>
      </w:pPr>
    </w:p>
    <w:p w:rsidR="004D287F" w:rsidRDefault="004D287F">
      <w:pPr>
        <w:rPr>
          <w:b/>
          <w:sz w:val="44"/>
        </w:rPr>
      </w:pPr>
    </w:p>
    <w:p w:rsidR="004D287F" w:rsidRDefault="004D287F">
      <w:pPr>
        <w:rPr>
          <w:sz w:val="24"/>
        </w:rPr>
      </w:pPr>
      <w:r>
        <w:rPr>
          <w:sz w:val="24"/>
        </w:rPr>
        <w:t>Liebe Patientin, lieber Patient,</w:t>
      </w:r>
    </w:p>
    <w:p w:rsidR="004D287F" w:rsidRDefault="004D287F">
      <w:pPr>
        <w:rPr>
          <w:sz w:val="24"/>
        </w:rPr>
      </w:pPr>
      <w:r>
        <w:rPr>
          <w:sz w:val="24"/>
        </w:rPr>
        <w:t>Sie planen, bald eine Fernreise anzutreten und möchten sich hierzu im Vorfeld beraten lassen. Dies ist eine sehr sinnvolle Entscheidung!</w:t>
      </w:r>
    </w:p>
    <w:p w:rsidR="004D287F" w:rsidRDefault="004D287F">
      <w:pPr>
        <w:rPr>
          <w:sz w:val="24"/>
        </w:rPr>
      </w:pPr>
      <w:r>
        <w:rPr>
          <w:sz w:val="24"/>
        </w:rPr>
        <w:t>Die Urlaubszeit ist bekanntlich die schönste Zeit des Jahres. Damit aus der Traumreise kein Albtraum wird, ist es wichtig, sich bereits im Vorfeld mit den möglichen Reiserisiken auseinanderzusetzen.</w:t>
      </w:r>
    </w:p>
    <w:p w:rsidR="004D287F" w:rsidRDefault="004D287F">
      <w:pPr>
        <w:rPr>
          <w:sz w:val="24"/>
        </w:rPr>
      </w:pPr>
      <w:r>
        <w:rPr>
          <w:sz w:val="24"/>
        </w:rPr>
        <w:t>Hierzu gehören nicht nur Impfungen, sondern auch Probleme bei der Anreise (</w:t>
      </w:r>
      <w:proofErr w:type="spellStart"/>
      <w:r>
        <w:rPr>
          <w:sz w:val="24"/>
        </w:rPr>
        <w:t>z.Bsp</w:t>
      </w:r>
      <w:proofErr w:type="spellEnd"/>
      <w:r>
        <w:rPr>
          <w:sz w:val="24"/>
        </w:rPr>
        <w:t>. Thromboseprophylaxe), das Verhalten am Urlaubsort, das Mitführen von Medikamenten, die Malariaprophylaxe sowie das Ausstellen entsprechender Tauglichkeitsbescheinigungen und Medikamentenbegleitschreiben.</w:t>
      </w:r>
    </w:p>
    <w:p w:rsidR="004D287F" w:rsidRDefault="004D287F">
      <w:pPr>
        <w:rPr>
          <w:sz w:val="24"/>
        </w:rPr>
      </w:pPr>
      <w:r>
        <w:rPr>
          <w:sz w:val="24"/>
        </w:rPr>
        <w:t xml:space="preserve">Da eine reisemedizinische Beratung grundsätzlich keine Kassenleistung darstellt, muss diese mit Ihnen privat entsprechend der GOÄ abgerechnet werden. Einen Überblick über eventuelle Kosten bietet die unten aufgeführte Tabelle. Mittlerweile übernimmt eine Vielzahl an gesetzlichen Krankenkassen </w:t>
      </w:r>
      <w:r w:rsidR="0045313D">
        <w:rPr>
          <w:sz w:val="24"/>
        </w:rPr>
        <w:t xml:space="preserve">die Kosten für eine Reiseberatung und die empfohlenen Impfungen. </w:t>
      </w:r>
    </w:p>
    <w:p w:rsidR="0045313D" w:rsidRDefault="0045313D">
      <w:pPr>
        <w:rPr>
          <w:sz w:val="24"/>
        </w:rPr>
      </w:pPr>
      <w:r>
        <w:rPr>
          <w:sz w:val="24"/>
        </w:rPr>
        <w:t>Die Reise- und Impfberatung dauert ca. 15-20 min. Der Termin sollte in ausreichendem zeitlichen Abstand (ca. 8 Wochen) vor Reisebeginn geplant werden. Bei der Terminvergabe teilen Sie uns bitte Ihr Reiseziel und gegebenenfalls Zwischenstopps mit. Sie erhalten außerdem einen Fragebogen, den Sie bitte unterschrieben zur Reiseberatung mitbringen.</w:t>
      </w:r>
    </w:p>
    <w:p w:rsidR="0045313D" w:rsidRDefault="0045313D">
      <w:pPr>
        <w:rPr>
          <w:sz w:val="24"/>
        </w:rPr>
      </w:pPr>
      <w:r>
        <w:rPr>
          <w:sz w:val="24"/>
        </w:rPr>
        <w:t>Bringen Sie unbedingt zum Beratungstermin auch Ihren Impfausweis falls vorhanden mit!</w:t>
      </w:r>
    </w:p>
    <w:p w:rsidR="0045313D" w:rsidRDefault="0045313D">
      <w:pPr>
        <w:rPr>
          <w:sz w:val="24"/>
        </w:rPr>
      </w:pPr>
    </w:p>
    <w:p w:rsidR="00177764" w:rsidRDefault="0045313D">
      <w:pPr>
        <w:rPr>
          <w:sz w:val="24"/>
        </w:rPr>
      </w:pPr>
      <w:r>
        <w:rPr>
          <w:sz w:val="24"/>
        </w:rPr>
        <w:tab/>
      </w:r>
      <w:r>
        <w:rPr>
          <w:sz w:val="24"/>
        </w:rPr>
        <w:tab/>
      </w:r>
      <w:r>
        <w:rPr>
          <w:sz w:val="24"/>
        </w:rPr>
        <w:tab/>
      </w:r>
    </w:p>
    <w:p w:rsidR="00177764" w:rsidRDefault="00177764">
      <w:pPr>
        <w:rPr>
          <w:sz w:val="24"/>
        </w:rPr>
      </w:pPr>
    </w:p>
    <w:p w:rsidR="0045313D" w:rsidRDefault="00177764">
      <w:pPr>
        <w:rPr>
          <w:sz w:val="24"/>
        </w:rPr>
      </w:pPr>
      <w:r>
        <w:rPr>
          <w:sz w:val="24"/>
        </w:rPr>
        <w:tab/>
      </w:r>
      <w:r>
        <w:rPr>
          <w:sz w:val="24"/>
        </w:rPr>
        <w:tab/>
      </w:r>
      <w:r>
        <w:rPr>
          <w:sz w:val="24"/>
        </w:rPr>
        <w:tab/>
      </w:r>
      <w:r w:rsidR="0045313D">
        <w:rPr>
          <w:sz w:val="24"/>
        </w:rPr>
        <w:t>Viel Spaß bei den Reisevorbereitungen wünscht Ihnen Ihr Praxisteam</w:t>
      </w:r>
      <w:r>
        <w:rPr>
          <w:sz w:val="24"/>
        </w:rPr>
        <w:t>!</w:t>
      </w:r>
      <w:r w:rsidR="0045313D">
        <w:rPr>
          <w:sz w:val="24"/>
        </w:rPr>
        <w:t xml:space="preserve">  </w:t>
      </w:r>
    </w:p>
    <w:p w:rsidR="004749B1" w:rsidRDefault="004749B1">
      <w:pPr>
        <w:rPr>
          <w:sz w:val="24"/>
        </w:rPr>
      </w:pPr>
    </w:p>
    <w:p w:rsidR="00A21616" w:rsidRDefault="00A21616">
      <w:pPr>
        <w:rPr>
          <w:sz w:val="24"/>
        </w:rPr>
      </w:pPr>
    </w:p>
    <w:p w:rsidR="00A21616" w:rsidRDefault="00A21616">
      <w:pPr>
        <w:rPr>
          <w:sz w:val="24"/>
        </w:rPr>
      </w:pPr>
    </w:p>
    <w:p w:rsidR="00A21616" w:rsidRDefault="00A21616">
      <w:pPr>
        <w:rPr>
          <w:sz w:val="24"/>
        </w:rPr>
      </w:pPr>
    </w:p>
    <w:p w:rsidR="00A21616" w:rsidRDefault="00177764" w:rsidP="00177764">
      <w:pPr>
        <w:jc w:val="center"/>
        <w:rPr>
          <w:b/>
          <w:sz w:val="24"/>
        </w:rPr>
      </w:pPr>
      <w:r w:rsidRPr="00177764">
        <w:rPr>
          <w:b/>
          <w:sz w:val="24"/>
        </w:rPr>
        <w:lastRenderedPageBreak/>
        <w:t>Kostenüberblick</w:t>
      </w:r>
    </w:p>
    <w:p w:rsidR="00177764" w:rsidRPr="00177764" w:rsidRDefault="00177764" w:rsidP="00177764">
      <w:pPr>
        <w:jc w:val="center"/>
        <w:rPr>
          <w:b/>
          <w:sz w:val="24"/>
        </w:rPr>
      </w:pPr>
    </w:p>
    <w:tbl>
      <w:tblPr>
        <w:tblStyle w:val="Tabellenraster"/>
        <w:tblW w:w="0" w:type="auto"/>
        <w:tblLook w:val="04A0" w:firstRow="1" w:lastRow="0" w:firstColumn="1" w:lastColumn="0" w:noHBand="0" w:noVBand="1"/>
      </w:tblPr>
      <w:tblGrid>
        <w:gridCol w:w="4248"/>
        <w:gridCol w:w="3544"/>
        <w:gridCol w:w="1270"/>
      </w:tblGrid>
      <w:tr w:rsidR="00670A6E" w:rsidTr="00A21616">
        <w:tc>
          <w:tcPr>
            <w:tcW w:w="4248" w:type="dxa"/>
          </w:tcPr>
          <w:p w:rsidR="00670A6E" w:rsidRDefault="00670A6E">
            <w:pPr>
              <w:rPr>
                <w:sz w:val="24"/>
              </w:rPr>
            </w:pPr>
            <w:r>
              <w:rPr>
                <w:sz w:val="24"/>
              </w:rPr>
              <w:t xml:space="preserve">Durchsicht Impfpass und Reiseberatung </w:t>
            </w:r>
          </w:p>
        </w:tc>
        <w:tc>
          <w:tcPr>
            <w:tcW w:w="3544" w:type="dxa"/>
          </w:tcPr>
          <w:p w:rsidR="00670A6E" w:rsidRDefault="00670A6E">
            <w:pPr>
              <w:rPr>
                <w:sz w:val="24"/>
              </w:rPr>
            </w:pPr>
            <w:r>
              <w:rPr>
                <w:sz w:val="24"/>
              </w:rPr>
              <w:t>GOÄ Ziffer 3</w:t>
            </w:r>
            <w:r w:rsidR="00A21616">
              <w:rPr>
                <w:sz w:val="24"/>
              </w:rPr>
              <w:t xml:space="preserve"> (2,3-facher Satz)</w:t>
            </w:r>
          </w:p>
        </w:tc>
        <w:tc>
          <w:tcPr>
            <w:tcW w:w="1270" w:type="dxa"/>
          </w:tcPr>
          <w:p w:rsidR="00670A6E" w:rsidRDefault="00670A6E">
            <w:pPr>
              <w:rPr>
                <w:sz w:val="24"/>
              </w:rPr>
            </w:pPr>
            <w:r>
              <w:rPr>
                <w:sz w:val="24"/>
              </w:rPr>
              <w:t xml:space="preserve">20,10 </w:t>
            </w:r>
            <w:r>
              <w:rPr>
                <w:rFonts w:cstheme="minorHAnsi"/>
                <w:sz w:val="24"/>
              </w:rPr>
              <w:t>€</w:t>
            </w:r>
          </w:p>
        </w:tc>
      </w:tr>
      <w:tr w:rsidR="00670A6E" w:rsidTr="00A21616">
        <w:tc>
          <w:tcPr>
            <w:tcW w:w="4248" w:type="dxa"/>
          </w:tcPr>
          <w:p w:rsidR="00670A6E" w:rsidRDefault="00670A6E">
            <w:pPr>
              <w:rPr>
                <w:sz w:val="24"/>
              </w:rPr>
            </w:pPr>
            <w:r>
              <w:rPr>
                <w:sz w:val="24"/>
              </w:rPr>
              <w:t>Schriftliche Informationen zum Reiseland</w:t>
            </w:r>
          </w:p>
        </w:tc>
        <w:tc>
          <w:tcPr>
            <w:tcW w:w="3544" w:type="dxa"/>
          </w:tcPr>
          <w:p w:rsidR="00670A6E" w:rsidRDefault="00670A6E">
            <w:pPr>
              <w:rPr>
                <w:sz w:val="24"/>
              </w:rPr>
            </w:pPr>
            <w:r>
              <w:rPr>
                <w:sz w:val="24"/>
              </w:rPr>
              <w:t>Sachkosten</w:t>
            </w:r>
          </w:p>
        </w:tc>
        <w:tc>
          <w:tcPr>
            <w:tcW w:w="1270" w:type="dxa"/>
          </w:tcPr>
          <w:p w:rsidR="00670A6E" w:rsidRDefault="00670A6E" w:rsidP="00670A6E">
            <w:pPr>
              <w:rPr>
                <w:sz w:val="24"/>
              </w:rPr>
            </w:pPr>
            <w:r>
              <w:rPr>
                <w:sz w:val="24"/>
              </w:rPr>
              <w:t xml:space="preserve">  5,00 </w:t>
            </w:r>
            <w:r>
              <w:rPr>
                <w:rFonts w:cstheme="minorHAnsi"/>
                <w:sz w:val="24"/>
              </w:rPr>
              <w:t>€</w:t>
            </w:r>
          </w:p>
        </w:tc>
      </w:tr>
      <w:tr w:rsidR="00670A6E" w:rsidTr="00A21616">
        <w:tc>
          <w:tcPr>
            <w:tcW w:w="4248" w:type="dxa"/>
          </w:tcPr>
          <w:p w:rsidR="00670A6E" w:rsidRDefault="00670A6E">
            <w:pPr>
              <w:rPr>
                <w:sz w:val="24"/>
              </w:rPr>
            </w:pPr>
            <w:r>
              <w:rPr>
                <w:sz w:val="24"/>
              </w:rPr>
              <w:t>Individuelle Erstellung des Impfplanes</w:t>
            </w:r>
          </w:p>
        </w:tc>
        <w:tc>
          <w:tcPr>
            <w:tcW w:w="3544" w:type="dxa"/>
          </w:tcPr>
          <w:p w:rsidR="00670A6E" w:rsidRDefault="00A21616">
            <w:pPr>
              <w:rPr>
                <w:sz w:val="24"/>
              </w:rPr>
            </w:pPr>
            <w:r>
              <w:rPr>
                <w:sz w:val="24"/>
              </w:rPr>
              <w:t>GOÄ Ziffer 76 (2,3-facher Satz)</w:t>
            </w:r>
          </w:p>
        </w:tc>
        <w:tc>
          <w:tcPr>
            <w:tcW w:w="1270" w:type="dxa"/>
          </w:tcPr>
          <w:p w:rsidR="00670A6E" w:rsidRDefault="00670A6E">
            <w:pPr>
              <w:rPr>
                <w:sz w:val="24"/>
              </w:rPr>
            </w:pPr>
            <w:r>
              <w:rPr>
                <w:sz w:val="24"/>
              </w:rPr>
              <w:t xml:space="preserve">  9,38 </w:t>
            </w:r>
            <w:r>
              <w:rPr>
                <w:rFonts w:cstheme="minorHAnsi"/>
                <w:sz w:val="24"/>
              </w:rPr>
              <w:t>€</w:t>
            </w:r>
          </w:p>
        </w:tc>
      </w:tr>
      <w:tr w:rsidR="00670A6E" w:rsidTr="00A21616">
        <w:tc>
          <w:tcPr>
            <w:tcW w:w="4248" w:type="dxa"/>
          </w:tcPr>
          <w:p w:rsidR="00670A6E" w:rsidRDefault="00A21616">
            <w:pPr>
              <w:rPr>
                <w:sz w:val="24"/>
              </w:rPr>
            </w:pPr>
            <w:r>
              <w:rPr>
                <w:sz w:val="24"/>
              </w:rPr>
              <w:t xml:space="preserve">Je </w:t>
            </w:r>
            <w:r w:rsidR="00670A6E">
              <w:rPr>
                <w:sz w:val="24"/>
              </w:rPr>
              <w:t>Schutzimpfung</w:t>
            </w:r>
          </w:p>
        </w:tc>
        <w:tc>
          <w:tcPr>
            <w:tcW w:w="3544" w:type="dxa"/>
          </w:tcPr>
          <w:p w:rsidR="00670A6E" w:rsidRDefault="00670A6E">
            <w:pPr>
              <w:rPr>
                <w:sz w:val="24"/>
              </w:rPr>
            </w:pPr>
            <w:r>
              <w:rPr>
                <w:sz w:val="24"/>
              </w:rPr>
              <w:t>GOÄ Ziffer 375</w:t>
            </w:r>
            <w:r w:rsidR="00A21616">
              <w:rPr>
                <w:sz w:val="24"/>
              </w:rPr>
              <w:t xml:space="preserve"> (2,14-facher Satz)</w:t>
            </w:r>
          </w:p>
        </w:tc>
        <w:tc>
          <w:tcPr>
            <w:tcW w:w="1270" w:type="dxa"/>
          </w:tcPr>
          <w:p w:rsidR="00670A6E" w:rsidRDefault="00A21616">
            <w:pPr>
              <w:rPr>
                <w:sz w:val="24"/>
              </w:rPr>
            </w:pPr>
            <w:r>
              <w:rPr>
                <w:sz w:val="24"/>
              </w:rPr>
              <w:t xml:space="preserve">10,00 </w:t>
            </w:r>
            <w:r>
              <w:rPr>
                <w:rFonts w:cstheme="minorHAnsi"/>
                <w:sz w:val="24"/>
              </w:rPr>
              <w:t>€</w:t>
            </w:r>
          </w:p>
        </w:tc>
      </w:tr>
    </w:tbl>
    <w:p w:rsidR="004749B1" w:rsidRDefault="004749B1">
      <w:pPr>
        <w:rPr>
          <w:sz w:val="24"/>
        </w:rPr>
      </w:pPr>
    </w:p>
    <w:p w:rsidR="00177764" w:rsidRDefault="00177764">
      <w:pPr>
        <w:rPr>
          <w:sz w:val="24"/>
        </w:rPr>
      </w:pPr>
    </w:p>
    <w:p w:rsidR="00177764" w:rsidRDefault="00177764">
      <w:pPr>
        <w:rPr>
          <w:sz w:val="24"/>
        </w:rPr>
      </w:pPr>
    </w:p>
    <w:p w:rsidR="00A21616" w:rsidRDefault="001B679D" w:rsidP="001B679D">
      <w:pPr>
        <w:jc w:val="center"/>
        <w:rPr>
          <w:b/>
          <w:sz w:val="24"/>
        </w:rPr>
      </w:pPr>
      <w:r w:rsidRPr="00177764">
        <w:rPr>
          <w:b/>
          <w:sz w:val="24"/>
        </w:rPr>
        <w:t>Übersicht der reinen Impfstoffkosten ( Stand 08.2023)</w:t>
      </w:r>
    </w:p>
    <w:p w:rsidR="00177764" w:rsidRPr="00177764" w:rsidRDefault="00177764" w:rsidP="001B679D">
      <w:pPr>
        <w:jc w:val="center"/>
        <w:rPr>
          <w:b/>
          <w:sz w:val="24"/>
        </w:rPr>
      </w:pPr>
    </w:p>
    <w:tbl>
      <w:tblPr>
        <w:tblStyle w:val="Tabellenraster"/>
        <w:tblW w:w="9351" w:type="dxa"/>
        <w:tblLayout w:type="fixed"/>
        <w:tblLook w:val="04A0" w:firstRow="1" w:lastRow="0" w:firstColumn="1" w:lastColumn="0" w:noHBand="0" w:noVBand="1"/>
      </w:tblPr>
      <w:tblGrid>
        <w:gridCol w:w="2830"/>
        <w:gridCol w:w="1701"/>
        <w:gridCol w:w="1843"/>
        <w:gridCol w:w="2977"/>
      </w:tblGrid>
      <w:tr w:rsidR="001B679D" w:rsidTr="00177764">
        <w:tc>
          <w:tcPr>
            <w:tcW w:w="2830" w:type="dxa"/>
          </w:tcPr>
          <w:p w:rsidR="001B679D" w:rsidRDefault="001B679D">
            <w:pPr>
              <w:rPr>
                <w:sz w:val="24"/>
              </w:rPr>
            </w:pPr>
          </w:p>
        </w:tc>
        <w:tc>
          <w:tcPr>
            <w:tcW w:w="1701" w:type="dxa"/>
          </w:tcPr>
          <w:p w:rsidR="001B679D" w:rsidRDefault="001B679D" w:rsidP="00177764">
            <w:pPr>
              <w:jc w:val="center"/>
              <w:rPr>
                <w:sz w:val="24"/>
              </w:rPr>
            </w:pPr>
            <w:r>
              <w:rPr>
                <w:sz w:val="24"/>
              </w:rPr>
              <w:t>Impfungen für Langzeitschutz</w:t>
            </w:r>
          </w:p>
        </w:tc>
        <w:tc>
          <w:tcPr>
            <w:tcW w:w="1843" w:type="dxa"/>
          </w:tcPr>
          <w:p w:rsidR="001B679D" w:rsidRDefault="001B679D" w:rsidP="00177764">
            <w:pPr>
              <w:jc w:val="center"/>
              <w:rPr>
                <w:sz w:val="24"/>
              </w:rPr>
            </w:pPr>
            <w:r>
              <w:rPr>
                <w:sz w:val="24"/>
              </w:rPr>
              <w:t>Kosten je Injektion</w:t>
            </w:r>
          </w:p>
        </w:tc>
        <w:tc>
          <w:tcPr>
            <w:tcW w:w="2977" w:type="dxa"/>
          </w:tcPr>
          <w:p w:rsidR="001B679D" w:rsidRDefault="001B679D" w:rsidP="00177764">
            <w:pPr>
              <w:jc w:val="center"/>
              <w:rPr>
                <w:sz w:val="24"/>
              </w:rPr>
            </w:pPr>
            <w:r>
              <w:rPr>
                <w:sz w:val="24"/>
              </w:rPr>
              <w:t>Langzeitschutz/Auffrischung</w:t>
            </w:r>
          </w:p>
        </w:tc>
      </w:tr>
      <w:tr w:rsidR="001B679D" w:rsidTr="00177764">
        <w:tc>
          <w:tcPr>
            <w:tcW w:w="2830" w:type="dxa"/>
          </w:tcPr>
          <w:p w:rsidR="001B679D" w:rsidRDefault="001B679D" w:rsidP="00177764">
            <w:pPr>
              <w:jc w:val="center"/>
              <w:rPr>
                <w:sz w:val="24"/>
              </w:rPr>
            </w:pPr>
            <w:r>
              <w:rPr>
                <w:sz w:val="24"/>
              </w:rPr>
              <w:t>Hepatitis A</w:t>
            </w:r>
          </w:p>
          <w:p w:rsidR="001B679D" w:rsidRDefault="001B679D" w:rsidP="00177764">
            <w:pPr>
              <w:jc w:val="center"/>
              <w:rPr>
                <w:sz w:val="24"/>
              </w:rPr>
            </w:pPr>
            <w:r>
              <w:rPr>
                <w:sz w:val="24"/>
              </w:rPr>
              <w:t>(</w:t>
            </w:r>
            <w:proofErr w:type="spellStart"/>
            <w:r>
              <w:rPr>
                <w:sz w:val="24"/>
              </w:rPr>
              <w:t>Havrix</w:t>
            </w:r>
            <w:proofErr w:type="spellEnd"/>
            <w:r>
              <w:rPr>
                <w:sz w:val="24"/>
              </w:rPr>
              <w:t>)</w:t>
            </w:r>
          </w:p>
        </w:tc>
        <w:tc>
          <w:tcPr>
            <w:tcW w:w="1701" w:type="dxa"/>
          </w:tcPr>
          <w:p w:rsidR="001B679D" w:rsidRDefault="001B679D" w:rsidP="00177764">
            <w:pPr>
              <w:jc w:val="center"/>
              <w:rPr>
                <w:sz w:val="24"/>
              </w:rPr>
            </w:pPr>
            <w:r>
              <w:rPr>
                <w:sz w:val="24"/>
              </w:rPr>
              <w:t>2x</w:t>
            </w:r>
          </w:p>
          <w:p w:rsidR="001B679D" w:rsidRDefault="001B679D" w:rsidP="00177764">
            <w:pPr>
              <w:jc w:val="center"/>
              <w:rPr>
                <w:sz w:val="24"/>
              </w:rPr>
            </w:pPr>
          </w:p>
        </w:tc>
        <w:tc>
          <w:tcPr>
            <w:tcW w:w="1843" w:type="dxa"/>
          </w:tcPr>
          <w:p w:rsidR="001B679D" w:rsidRDefault="00D9152D" w:rsidP="00177764">
            <w:pPr>
              <w:jc w:val="center"/>
              <w:rPr>
                <w:sz w:val="24"/>
              </w:rPr>
            </w:pPr>
            <w:r>
              <w:rPr>
                <w:sz w:val="24"/>
              </w:rPr>
              <w:t xml:space="preserve">52,50 </w:t>
            </w:r>
            <w:r>
              <w:rPr>
                <w:rFonts w:cstheme="minorHAnsi"/>
                <w:sz w:val="24"/>
              </w:rPr>
              <w:t>€</w:t>
            </w:r>
          </w:p>
        </w:tc>
        <w:tc>
          <w:tcPr>
            <w:tcW w:w="2977" w:type="dxa"/>
          </w:tcPr>
          <w:p w:rsidR="001B679D" w:rsidRDefault="00271D06" w:rsidP="00177764">
            <w:pPr>
              <w:jc w:val="center"/>
              <w:rPr>
                <w:sz w:val="24"/>
              </w:rPr>
            </w:pPr>
            <w:r>
              <w:rPr>
                <w:sz w:val="24"/>
              </w:rPr>
              <w:t>In der Regel keine Auffrischung erforderlich</w:t>
            </w:r>
          </w:p>
        </w:tc>
      </w:tr>
      <w:tr w:rsidR="001B679D" w:rsidTr="00177764">
        <w:tc>
          <w:tcPr>
            <w:tcW w:w="2830" w:type="dxa"/>
          </w:tcPr>
          <w:p w:rsidR="001B679D" w:rsidRDefault="001B679D" w:rsidP="00177764">
            <w:pPr>
              <w:jc w:val="center"/>
              <w:rPr>
                <w:sz w:val="24"/>
              </w:rPr>
            </w:pPr>
            <w:r>
              <w:rPr>
                <w:sz w:val="24"/>
              </w:rPr>
              <w:t>Hepatitis B</w:t>
            </w:r>
          </w:p>
          <w:p w:rsidR="001B679D" w:rsidRDefault="001B679D" w:rsidP="00177764">
            <w:pPr>
              <w:jc w:val="center"/>
              <w:rPr>
                <w:sz w:val="24"/>
              </w:rPr>
            </w:pPr>
            <w:r>
              <w:rPr>
                <w:sz w:val="24"/>
              </w:rPr>
              <w:t>(</w:t>
            </w:r>
            <w:proofErr w:type="spellStart"/>
            <w:r>
              <w:rPr>
                <w:sz w:val="24"/>
              </w:rPr>
              <w:t>Engerix</w:t>
            </w:r>
            <w:proofErr w:type="spellEnd"/>
            <w:r>
              <w:rPr>
                <w:sz w:val="24"/>
              </w:rPr>
              <w:t>)</w:t>
            </w:r>
          </w:p>
        </w:tc>
        <w:tc>
          <w:tcPr>
            <w:tcW w:w="1701" w:type="dxa"/>
          </w:tcPr>
          <w:p w:rsidR="001B679D" w:rsidRDefault="001B679D" w:rsidP="00177764">
            <w:pPr>
              <w:jc w:val="center"/>
              <w:rPr>
                <w:sz w:val="24"/>
              </w:rPr>
            </w:pPr>
            <w:r>
              <w:rPr>
                <w:sz w:val="24"/>
              </w:rPr>
              <w:t>3x</w:t>
            </w:r>
          </w:p>
        </w:tc>
        <w:tc>
          <w:tcPr>
            <w:tcW w:w="1843" w:type="dxa"/>
          </w:tcPr>
          <w:p w:rsidR="001B679D" w:rsidRDefault="00D9152D" w:rsidP="00177764">
            <w:pPr>
              <w:jc w:val="center"/>
              <w:rPr>
                <w:sz w:val="24"/>
              </w:rPr>
            </w:pPr>
            <w:r>
              <w:rPr>
                <w:sz w:val="24"/>
              </w:rPr>
              <w:t xml:space="preserve">50,61 </w:t>
            </w:r>
            <w:r>
              <w:rPr>
                <w:rFonts w:cstheme="minorHAnsi"/>
                <w:sz w:val="24"/>
              </w:rPr>
              <w:t>€</w:t>
            </w:r>
          </w:p>
        </w:tc>
        <w:tc>
          <w:tcPr>
            <w:tcW w:w="2977" w:type="dxa"/>
          </w:tcPr>
          <w:p w:rsidR="001B679D" w:rsidRDefault="00177764" w:rsidP="00177764">
            <w:pPr>
              <w:jc w:val="center"/>
              <w:rPr>
                <w:sz w:val="24"/>
              </w:rPr>
            </w:pPr>
            <w:r w:rsidRPr="00177764">
              <w:rPr>
                <w:sz w:val="24"/>
              </w:rPr>
              <w:t>In der Regel keine Auffrischung erforderlich</w:t>
            </w:r>
          </w:p>
        </w:tc>
      </w:tr>
      <w:tr w:rsidR="001B679D" w:rsidTr="00177764">
        <w:tc>
          <w:tcPr>
            <w:tcW w:w="2830" w:type="dxa"/>
          </w:tcPr>
          <w:p w:rsidR="001B679D" w:rsidRDefault="001B679D" w:rsidP="00177764">
            <w:pPr>
              <w:jc w:val="center"/>
              <w:rPr>
                <w:sz w:val="24"/>
              </w:rPr>
            </w:pPr>
            <w:r>
              <w:rPr>
                <w:sz w:val="24"/>
              </w:rPr>
              <w:t>Hepatitis A+B</w:t>
            </w:r>
          </w:p>
          <w:p w:rsidR="001B679D" w:rsidRDefault="001B679D" w:rsidP="00177764">
            <w:pPr>
              <w:jc w:val="center"/>
              <w:rPr>
                <w:sz w:val="24"/>
              </w:rPr>
            </w:pPr>
            <w:r>
              <w:rPr>
                <w:sz w:val="24"/>
              </w:rPr>
              <w:t>(</w:t>
            </w:r>
            <w:proofErr w:type="spellStart"/>
            <w:r>
              <w:rPr>
                <w:sz w:val="24"/>
              </w:rPr>
              <w:t>Twinrix</w:t>
            </w:r>
            <w:proofErr w:type="spellEnd"/>
            <w:r>
              <w:rPr>
                <w:sz w:val="24"/>
              </w:rPr>
              <w:t>)</w:t>
            </w:r>
          </w:p>
        </w:tc>
        <w:tc>
          <w:tcPr>
            <w:tcW w:w="1701" w:type="dxa"/>
          </w:tcPr>
          <w:p w:rsidR="001B679D" w:rsidRDefault="001B679D" w:rsidP="00177764">
            <w:pPr>
              <w:jc w:val="center"/>
              <w:rPr>
                <w:sz w:val="24"/>
              </w:rPr>
            </w:pPr>
            <w:r>
              <w:rPr>
                <w:sz w:val="24"/>
              </w:rPr>
              <w:t>3x</w:t>
            </w:r>
          </w:p>
        </w:tc>
        <w:tc>
          <w:tcPr>
            <w:tcW w:w="1843" w:type="dxa"/>
          </w:tcPr>
          <w:p w:rsidR="001B679D" w:rsidRDefault="00D9152D" w:rsidP="00177764">
            <w:pPr>
              <w:jc w:val="center"/>
              <w:rPr>
                <w:sz w:val="24"/>
              </w:rPr>
            </w:pPr>
            <w:r>
              <w:rPr>
                <w:sz w:val="24"/>
              </w:rPr>
              <w:t xml:space="preserve">80,80 </w:t>
            </w:r>
            <w:r>
              <w:rPr>
                <w:rFonts w:cstheme="minorHAnsi"/>
                <w:sz w:val="24"/>
              </w:rPr>
              <w:t>€</w:t>
            </w:r>
          </w:p>
        </w:tc>
        <w:tc>
          <w:tcPr>
            <w:tcW w:w="2977" w:type="dxa"/>
          </w:tcPr>
          <w:p w:rsidR="001B679D" w:rsidRDefault="00177764" w:rsidP="00177764">
            <w:pPr>
              <w:jc w:val="center"/>
              <w:rPr>
                <w:sz w:val="24"/>
              </w:rPr>
            </w:pPr>
            <w:r w:rsidRPr="00177764">
              <w:rPr>
                <w:sz w:val="24"/>
              </w:rPr>
              <w:t>In der Regel keine Auffrischung erforderlich</w:t>
            </w:r>
          </w:p>
        </w:tc>
      </w:tr>
      <w:tr w:rsidR="001B679D" w:rsidTr="00177764">
        <w:tc>
          <w:tcPr>
            <w:tcW w:w="2830" w:type="dxa"/>
          </w:tcPr>
          <w:p w:rsidR="001B679D" w:rsidRDefault="001B679D" w:rsidP="00177764">
            <w:pPr>
              <w:jc w:val="center"/>
              <w:rPr>
                <w:sz w:val="24"/>
              </w:rPr>
            </w:pPr>
            <w:proofErr w:type="spellStart"/>
            <w:r>
              <w:rPr>
                <w:sz w:val="24"/>
              </w:rPr>
              <w:t>Meningokokken</w:t>
            </w:r>
            <w:proofErr w:type="spellEnd"/>
            <w:r>
              <w:rPr>
                <w:sz w:val="24"/>
              </w:rPr>
              <w:t xml:space="preserve"> ACWY</w:t>
            </w:r>
          </w:p>
          <w:p w:rsidR="001B679D" w:rsidRDefault="001B679D" w:rsidP="00177764">
            <w:pPr>
              <w:jc w:val="center"/>
              <w:rPr>
                <w:sz w:val="24"/>
              </w:rPr>
            </w:pPr>
            <w:r>
              <w:rPr>
                <w:sz w:val="24"/>
              </w:rPr>
              <w:t>(</w:t>
            </w:r>
            <w:proofErr w:type="spellStart"/>
            <w:r>
              <w:rPr>
                <w:sz w:val="24"/>
              </w:rPr>
              <w:t>Nimenrix</w:t>
            </w:r>
            <w:proofErr w:type="spellEnd"/>
            <w:r>
              <w:rPr>
                <w:sz w:val="24"/>
              </w:rPr>
              <w:t>)</w:t>
            </w:r>
          </w:p>
        </w:tc>
        <w:tc>
          <w:tcPr>
            <w:tcW w:w="1701" w:type="dxa"/>
          </w:tcPr>
          <w:p w:rsidR="001B679D" w:rsidRDefault="001B679D" w:rsidP="00177764">
            <w:pPr>
              <w:jc w:val="center"/>
              <w:rPr>
                <w:sz w:val="24"/>
              </w:rPr>
            </w:pPr>
            <w:r>
              <w:rPr>
                <w:sz w:val="24"/>
              </w:rPr>
              <w:t>1x</w:t>
            </w:r>
          </w:p>
        </w:tc>
        <w:tc>
          <w:tcPr>
            <w:tcW w:w="1843" w:type="dxa"/>
          </w:tcPr>
          <w:p w:rsidR="001B679D" w:rsidRDefault="00D9152D" w:rsidP="00177764">
            <w:pPr>
              <w:jc w:val="center"/>
              <w:rPr>
                <w:sz w:val="24"/>
              </w:rPr>
            </w:pPr>
            <w:r>
              <w:rPr>
                <w:sz w:val="24"/>
              </w:rPr>
              <w:t xml:space="preserve">54,42 </w:t>
            </w:r>
            <w:r>
              <w:rPr>
                <w:rFonts w:cstheme="minorHAnsi"/>
                <w:sz w:val="24"/>
              </w:rPr>
              <w:t>€</w:t>
            </w:r>
          </w:p>
        </w:tc>
        <w:tc>
          <w:tcPr>
            <w:tcW w:w="2977" w:type="dxa"/>
          </w:tcPr>
          <w:p w:rsidR="00177764" w:rsidRDefault="00177764" w:rsidP="00177764">
            <w:pPr>
              <w:jc w:val="center"/>
              <w:rPr>
                <w:sz w:val="24"/>
              </w:rPr>
            </w:pPr>
          </w:p>
          <w:p w:rsidR="001B679D" w:rsidRDefault="00271D06" w:rsidP="00177764">
            <w:pPr>
              <w:jc w:val="center"/>
              <w:rPr>
                <w:sz w:val="24"/>
              </w:rPr>
            </w:pPr>
            <w:r>
              <w:rPr>
                <w:sz w:val="24"/>
              </w:rPr>
              <w:t>Langzeitschutz für 10 Jahre</w:t>
            </w:r>
          </w:p>
        </w:tc>
      </w:tr>
      <w:tr w:rsidR="001B679D" w:rsidTr="00177764">
        <w:tc>
          <w:tcPr>
            <w:tcW w:w="2830" w:type="dxa"/>
          </w:tcPr>
          <w:p w:rsidR="001B679D" w:rsidRDefault="001B679D" w:rsidP="00177764">
            <w:pPr>
              <w:jc w:val="center"/>
              <w:rPr>
                <w:sz w:val="24"/>
              </w:rPr>
            </w:pPr>
            <w:r>
              <w:rPr>
                <w:sz w:val="24"/>
              </w:rPr>
              <w:t>Typhus</w:t>
            </w:r>
          </w:p>
          <w:p w:rsidR="001B679D" w:rsidRDefault="001B679D" w:rsidP="00177764">
            <w:pPr>
              <w:jc w:val="center"/>
              <w:rPr>
                <w:sz w:val="24"/>
              </w:rPr>
            </w:pPr>
            <w:r>
              <w:rPr>
                <w:sz w:val="24"/>
              </w:rPr>
              <w:t>(</w:t>
            </w:r>
            <w:proofErr w:type="spellStart"/>
            <w:r>
              <w:rPr>
                <w:sz w:val="24"/>
              </w:rPr>
              <w:t>Typhim</w:t>
            </w:r>
            <w:proofErr w:type="spellEnd"/>
            <w:r>
              <w:rPr>
                <w:sz w:val="24"/>
              </w:rPr>
              <w:t>)</w:t>
            </w:r>
          </w:p>
        </w:tc>
        <w:tc>
          <w:tcPr>
            <w:tcW w:w="1701" w:type="dxa"/>
          </w:tcPr>
          <w:p w:rsidR="001B679D" w:rsidRDefault="001B679D" w:rsidP="00177764">
            <w:pPr>
              <w:jc w:val="center"/>
              <w:rPr>
                <w:sz w:val="24"/>
              </w:rPr>
            </w:pPr>
            <w:r>
              <w:rPr>
                <w:sz w:val="24"/>
              </w:rPr>
              <w:t>1x</w:t>
            </w:r>
          </w:p>
        </w:tc>
        <w:tc>
          <w:tcPr>
            <w:tcW w:w="1843" w:type="dxa"/>
          </w:tcPr>
          <w:p w:rsidR="001B679D" w:rsidRDefault="00D9152D" w:rsidP="00177764">
            <w:pPr>
              <w:jc w:val="center"/>
              <w:rPr>
                <w:sz w:val="24"/>
              </w:rPr>
            </w:pPr>
            <w:r>
              <w:rPr>
                <w:sz w:val="24"/>
              </w:rPr>
              <w:t xml:space="preserve">35,93 </w:t>
            </w:r>
            <w:r>
              <w:rPr>
                <w:rFonts w:cstheme="minorHAnsi"/>
                <w:sz w:val="24"/>
              </w:rPr>
              <w:t>€</w:t>
            </w:r>
          </w:p>
        </w:tc>
        <w:tc>
          <w:tcPr>
            <w:tcW w:w="2977" w:type="dxa"/>
          </w:tcPr>
          <w:p w:rsidR="001B679D" w:rsidRDefault="00271D06" w:rsidP="00177764">
            <w:pPr>
              <w:jc w:val="center"/>
              <w:rPr>
                <w:sz w:val="24"/>
              </w:rPr>
            </w:pPr>
            <w:r>
              <w:rPr>
                <w:sz w:val="24"/>
              </w:rPr>
              <w:t>Langzeitschutz für 3 Jahre</w:t>
            </w:r>
          </w:p>
        </w:tc>
      </w:tr>
      <w:tr w:rsidR="001B679D" w:rsidTr="00177764">
        <w:tc>
          <w:tcPr>
            <w:tcW w:w="2830" w:type="dxa"/>
          </w:tcPr>
          <w:p w:rsidR="001B679D" w:rsidRDefault="001B679D" w:rsidP="00177764">
            <w:pPr>
              <w:jc w:val="center"/>
              <w:rPr>
                <w:sz w:val="24"/>
              </w:rPr>
            </w:pPr>
            <w:r>
              <w:rPr>
                <w:sz w:val="24"/>
              </w:rPr>
              <w:t>Japanische Enzephalitis</w:t>
            </w:r>
          </w:p>
          <w:p w:rsidR="001B679D" w:rsidRDefault="001B679D" w:rsidP="00177764">
            <w:pPr>
              <w:jc w:val="center"/>
              <w:rPr>
                <w:sz w:val="24"/>
              </w:rPr>
            </w:pPr>
            <w:r>
              <w:rPr>
                <w:sz w:val="24"/>
              </w:rPr>
              <w:t>(</w:t>
            </w:r>
            <w:proofErr w:type="spellStart"/>
            <w:r>
              <w:rPr>
                <w:sz w:val="24"/>
              </w:rPr>
              <w:t>Ixiaro</w:t>
            </w:r>
            <w:proofErr w:type="spellEnd"/>
            <w:r>
              <w:rPr>
                <w:sz w:val="24"/>
              </w:rPr>
              <w:t>)</w:t>
            </w:r>
          </w:p>
        </w:tc>
        <w:tc>
          <w:tcPr>
            <w:tcW w:w="1701" w:type="dxa"/>
          </w:tcPr>
          <w:p w:rsidR="001B679D" w:rsidRDefault="001B679D" w:rsidP="00177764">
            <w:pPr>
              <w:jc w:val="center"/>
              <w:rPr>
                <w:sz w:val="24"/>
              </w:rPr>
            </w:pPr>
            <w:r>
              <w:rPr>
                <w:sz w:val="24"/>
              </w:rPr>
              <w:t>2x</w:t>
            </w:r>
          </w:p>
        </w:tc>
        <w:tc>
          <w:tcPr>
            <w:tcW w:w="1843" w:type="dxa"/>
          </w:tcPr>
          <w:p w:rsidR="001B679D" w:rsidRDefault="00D9152D" w:rsidP="00177764">
            <w:pPr>
              <w:jc w:val="center"/>
              <w:rPr>
                <w:sz w:val="24"/>
              </w:rPr>
            </w:pPr>
            <w:r>
              <w:rPr>
                <w:sz w:val="24"/>
              </w:rPr>
              <w:t xml:space="preserve">101,95 </w:t>
            </w:r>
            <w:r>
              <w:rPr>
                <w:rFonts w:cstheme="minorHAnsi"/>
                <w:sz w:val="24"/>
              </w:rPr>
              <w:t>€</w:t>
            </w:r>
          </w:p>
        </w:tc>
        <w:tc>
          <w:tcPr>
            <w:tcW w:w="2977" w:type="dxa"/>
          </w:tcPr>
          <w:p w:rsidR="001B679D" w:rsidRDefault="00271D06" w:rsidP="00177764">
            <w:pPr>
              <w:jc w:val="center"/>
              <w:rPr>
                <w:sz w:val="24"/>
              </w:rPr>
            </w:pPr>
            <w:r>
              <w:rPr>
                <w:sz w:val="24"/>
              </w:rPr>
              <w:t>Auffrischung nach 12 bis 24 Monaten</w:t>
            </w:r>
          </w:p>
        </w:tc>
      </w:tr>
      <w:tr w:rsidR="001B679D" w:rsidTr="00177764">
        <w:tc>
          <w:tcPr>
            <w:tcW w:w="2830" w:type="dxa"/>
          </w:tcPr>
          <w:p w:rsidR="001B679D" w:rsidRDefault="001B679D" w:rsidP="00177764">
            <w:pPr>
              <w:jc w:val="center"/>
              <w:rPr>
                <w:sz w:val="24"/>
              </w:rPr>
            </w:pPr>
            <w:r>
              <w:rPr>
                <w:sz w:val="24"/>
              </w:rPr>
              <w:t>Tollwut</w:t>
            </w:r>
          </w:p>
          <w:p w:rsidR="001B679D" w:rsidRDefault="001B679D" w:rsidP="00177764">
            <w:pPr>
              <w:tabs>
                <w:tab w:val="left" w:pos="1365"/>
              </w:tabs>
              <w:jc w:val="center"/>
              <w:rPr>
                <w:sz w:val="24"/>
              </w:rPr>
            </w:pPr>
            <w:r>
              <w:rPr>
                <w:sz w:val="24"/>
              </w:rPr>
              <w:t>(</w:t>
            </w:r>
            <w:proofErr w:type="spellStart"/>
            <w:r>
              <w:rPr>
                <w:sz w:val="24"/>
              </w:rPr>
              <w:t>Rabipur</w:t>
            </w:r>
            <w:proofErr w:type="spellEnd"/>
            <w:r>
              <w:rPr>
                <w:sz w:val="24"/>
              </w:rPr>
              <w:t>)</w:t>
            </w:r>
          </w:p>
        </w:tc>
        <w:tc>
          <w:tcPr>
            <w:tcW w:w="1701" w:type="dxa"/>
          </w:tcPr>
          <w:p w:rsidR="001B679D" w:rsidRDefault="001B679D" w:rsidP="00177764">
            <w:pPr>
              <w:jc w:val="center"/>
              <w:rPr>
                <w:sz w:val="24"/>
              </w:rPr>
            </w:pPr>
            <w:r>
              <w:rPr>
                <w:sz w:val="24"/>
              </w:rPr>
              <w:t>3x</w:t>
            </w:r>
          </w:p>
        </w:tc>
        <w:tc>
          <w:tcPr>
            <w:tcW w:w="1843" w:type="dxa"/>
          </w:tcPr>
          <w:p w:rsidR="001B679D" w:rsidRDefault="00D9152D" w:rsidP="00177764">
            <w:pPr>
              <w:jc w:val="center"/>
              <w:rPr>
                <w:sz w:val="24"/>
              </w:rPr>
            </w:pPr>
            <w:r>
              <w:rPr>
                <w:sz w:val="24"/>
              </w:rPr>
              <w:t xml:space="preserve">74,84 </w:t>
            </w:r>
            <w:r>
              <w:rPr>
                <w:rFonts w:cstheme="minorHAnsi"/>
                <w:sz w:val="24"/>
              </w:rPr>
              <w:t>€</w:t>
            </w:r>
          </w:p>
        </w:tc>
        <w:tc>
          <w:tcPr>
            <w:tcW w:w="2977" w:type="dxa"/>
          </w:tcPr>
          <w:p w:rsidR="001B679D" w:rsidRDefault="00271D06" w:rsidP="00177764">
            <w:pPr>
              <w:jc w:val="center"/>
              <w:rPr>
                <w:sz w:val="24"/>
              </w:rPr>
            </w:pPr>
            <w:r>
              <w:rPr>
                <w:sz w:val="24"/>
              </w:rPr>
              <w:t>Auffrischung alle 2 bis 5 Jahre</w:t>
            </w:r>
          </w:p>
        </w:tc>
      </w:tr>
      <w:tr w:rsidR="001B679D" w:rsidTr="00177764">
        <w:tc>
          <w:tcPr>
            <w:tcW w:w="2830" w:type="dxa"/>
          </w:tcPr>
          <w:p w:rsidR="001B679D" w:rsidRDefault="001B679D" w:rsidP="00177764">
            <w:pPr>
              <w:jc w:val="center"/>
              <w:rPr>
                <w:sz w:val="24"/>
              </w:rPr>
            </w:pPr>
            <w:r>
              <w:rPr>
                <w:sz w:val="24"/>
              </w:rPr>
              <w:t>Cholera</w:t>
            </w:r>
          </w:p>
          <w:p w:rsidR="001B679D" w:rsidRDefault="001B679D" w:rsidP="00177764">
            <w:pPr>
              <w:jc w:val="center"/>
              <w:rPr>
                <w:sz w:val="24"/>
              </w:rPr>
            </w:pPr>
            <w:r>
              <w:rPr>
                <w:sz w:val="24"/>
              </w:rPr>
              <w:t>(Dukoral)</w:t>
            </w:r>
          </w:p>
        </w:tc>
        <w:tc>
          <w:tcPr>
            <w:tcW w:w="1701" w:type="dxa"/>
          </w:tcPr>
          <w:p w:rsidR="001B679D" w:rsidRDefault="00271D06" w:rsidP="00177764">
            <w:pPr>
              <w:jc w:val="center"/>
              <w:rPr>
                <w:sz w:val="24"/>
              </w:rPr>
            </w:pPr>
            <w:r>
              <w:rPr>
                <w:sz w:val="24"/>
              </w:rPr>
              <w:t>2x</w:t>
            </w:r>
          </w:p>
        </w:tc>
        <w:tc>
          <w:tcPr>
            <w:tcW w:w="1843" w:type="dxa"/>
          </w:tcPr>
          <w:p w:rsidR="001B679D" w:rsidRDefault="00271D06" w:rsidP="00177764">
            <w:pPr>
              <w:jc w:val="center"/>
              <w:rPr>
                <w:sz w:val="24"/>
              </w:rPr>
            </w:pPr>
            <w:r>
              <w:rPr>
                <w:sz w:val="24"/>
              </w:rPr>
              <w:t xml:space="preserve">Gesamt 96,54 </w:t>
            </w:r>
            <w:r>
              <w:rPr>
                <w:rFonts w:cstheme="minorHAnsi"/>
                <w:sz w:val="24"/>
              </w:rPr>
              <w:t>€</w:t>
            </w:r>
          </w:p>
        </w:tc>
        <w:tc>
          <w:tcPr>
            <w:tcW w:w="2977" w:type="dxa"/>
          </w:tcPr>
          <w:p w:rsidR="001B679D" w:rsidRDefault="00271D06" w:rsidP="00177764">
            <w:pPr>
              <w:jc w:val="center"/>
              <w:rPr>
                <w:sz w:val="24"/>
              </w:rPr>
            </w:pPr>
            <w:r>
              <w:rPr>
                <w:sz w:val="24"/>
              </w:rPr>
              <w:t>Auffrischung innerhalb von 2 Jahren</w:t>
            </w:r>
          </w:p>
        </w:tc>
      </w:tr>
      <w:tr w:rsidR="001B679D" w:rsidTr="00177764">
        <w:tc>
          <w:tcPr>
            <w:tcW w:w="2830" w:type="dxa"/>
          </w:tcPr>
          <w:p w:rsidR="001B679D" w:rsidRDefault="001B679D" w:rsidP="00177764">
            <w:pPr>
              <w:jc w:val="center"/>
              <w:rPr>
                <w:sz w:val="24"/>
              </w:rPr>
            </w:pPr>
            <w:r>
              <w:rPr>
                <w:sz w:val="24"/>
              </w:rPr>
              <w:t>Dengue-Fieber</w:t>
            </w:r>
          </w:p>
          <w:p w:rsidR="001B679D" w:rsidRDefault="001B679D" w:rsidP="00177764">
            <w:pPr>
              <w:jc w:val="center"/>
              <w:rPr>
                <w:sz w:val="24"/>
              </w:rPr>
            </w:pPr>
            <w:r>
              <w:rPr>
                <w:sz w:val="24"/>
              </w:rPr>
              <w:t>(</w:t>
            </w:r>
            <w:proofErr w:type="spellStart"/>
            <w:r>
              <w:rPr>
                <w:sz w:val="24"/>
              </w:rPr>
              <w:t>Qdenga</w:t>
            </w:r>
            <w:proofErr w:type="spellEnd"/>
            <w:r>
              <w:rPr>
                <w:sz w:val="24"/>
              </w:rPr>
              <w:t>)</w:t>
            </w:r>
          </w:p>
        </w:tc>
        <w:tc>
          <w:tcPr>
            <w:tcW w:w="1701" w:type="dxa"/>
          </w:tcPr>
          <w:p w:rsidR="001B679D" w:rsidRDefault="00271D06" w:rsidP="00177764">
            <w:pPr>
              <w:jc w:val="center"/>
              <w:rPr>
                <w:sz w:val="24"/>
              </w:rPr>
            </w:pPr>
            <w:r>
              <w:rPr>
                <w:sz w:val="24"/>
              </w:rPr>
              <w:t>2x</w:t>
            </w:r>
          </w:p>
        </w:tc>
        <w:tc>
          <w:tcPr>
            <w:tcW w:w="1843" w:type="dxa"/>
          </w:tcPr>
          <w:p w:rsidR="001B679D" w:rsidRDefault="00271D06" w:rsidP="00177764">
            <w:pPr>
              <w:jc w:val="center"/>
              <w:rPr>
                <w:sz w:val="24"/>
              </w:rPr>
            </w:pPr>
            <w:r>
              <w:rPr>
                <w:sz w:val="24"/>
              </w:rPr>
              <w:t xml:space="preserve">112,50 </w:t>
            </w:r>
            <w:r>
              <w:rPr>
                <w:rFonts w:cstheme="minorHAnsi"/>
                <w:sz w:val="24"/>
              </w:rPr>
              <w:t>€</w:t>
            </w:r>
          </w:p>
        </w:tc>
        <w:tc>
          <w:tcPr>
            <w:tcW w:w="2977" w:type="dxa"/>
          </w:tcPr>
          <w:p w:rsidR="001B679D" w:rsidRDefault="00271D06" w:rsidP="00177764">
            <w:pPr>
              <w:jc w:val="center"/>
              <w:rPr>
                <w:sz w:val="24"/>
              </w:rPr>
            </w:pPr>
            <w:r>
              <w:rPr>
                <w:sz w:val="24"/>
              </w:rPr>
              <w:t>Keine Auffrischung erforderlich</w:t>
            </w:r>
          </w:p>
        </w:tc>
      </w:tr>
    </w:tbl>
    <w:p w:rsidR="00A21616" w:rsidRPr="004D287F" w:rsidRDefault="00A21616" w:rsidP="00177764">
      <w:pPr>
        <w:jc w:val="center"/>
        <w:rPr>
          <w:sz w:val="24"/>
        </w:rPr>
      </w:pPr>
      <w:bookmarkStart w:id="0" w:name="_GoBack"/>
      <w:bookmarkEnd w:id="0"/>
    </w:p>
    <w:sectPr w:rsidR="00A21616" w:rsidRPr="004D28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87F"/>
    <w:rsid w:val="00177764"/>
    <w:rsid w:val="001B679D"/>
    <w:rsid w:val="00271D06"/>
    <w:rsid w:val="0045313D"/>
    <w:rsid w:val="004749B1"/>
    <w:rsid w:val="004D287F"/>
    <w:rsid w:val="00670A6E"/>
    <w:rsid w:val="009F37DB"/>
    <w:rsid w:val="00A21616"/>
    <w:rsid w:val="00D915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19E69-F900-44A1-99B7-A316922F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70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2286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dc:creator>
  <cp:keywords/>
  <dc:description/>
  <cp:lastModifiedBy>Praxis</cp:lastModifiedBy>
  <cp:revision>5</cp:revision>
  <dcterms:created xsi:type="dcterms:W3CDTF">2023-08-24T13:24:00Z</dcterms:created>
  <dcterms:modified xsi:type="dcterms:W3CDTF">2023-08-28T09:47:00Z</dcterms:modified>
</cp:coreProperties>
</file>